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3F" w:rsidRDefault="00462976">
      <w:pPr>
        <w:rPr>
          <w:lang w:val="en-US"/>
        </w:rPr>
      </w:pPr>
      <w:r>
        <w:rPr>
          <w:noProof/>
          <w:sz w:val="20"/>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-342900</wp:posOffset>
            </wp:positionV>
            <wp:extent cx="495300" cy="619125"/>
            <wp:effectExtent l="19050" t="0" r="0" b="0"/>
            <wp:wrapNone/>
            <wp:docPr id="5" name="Рисунок 5"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Октябрьского района (для бланка)"/>
                    <pic:cNvPicPr>
                      <a:picLocks noChangeAspect="1" noChangeArrowheads="1"/>
                    </pic:cNvPicPr>
                  </pic:nvPicPr>
                  <pic:blipFill>
                    <a:blip r:embed="rId8" cstate="print"/>
                    <a:srcRect/>
                    <a:stretch>
                      <a:fillRect/>
                    </a:stretch>
                  </pic:blipFill>
                  <pic:spPr bwMode="auto">
                    <a:xfrm>
                      <a:off x="0" y="0"/>
                      <a:ext cx="495300" cy="619125"/>
                    </a:xfrm>
                    <a:prstGeom prst="rect">
                      <a:avLst/>
                    </a:prstGeom>
                    <a:noFill/>
                    <a:ln w="9525">
                      <a:noFill/>
                      <a:miter lim="800000"/>
                      <a:headEnd/>
                      <a:tailEnd/>
                    </a:ln>
                  </pic:spPr>
                </pic:pic>
              </a:graphicData>
            </a:graphic>
          </wp:anchor>
        </w:drawing>
      </w:r>
    </w:p>
    <w:tbl>
      <w:tblPr>
        <w:tblW w:w="4895" w:type="pct"/>
        <w:tblLook w:val="01E0" w:firstRow="1" w:lastRow="1" w:firstColumn="1" w:lastColumn="1" w:noHBand="0" w:noVBand="0"/>
      </w:tblPr>
      <w:tblGrid>
        <w:gridCol w:w="225"/>
        <w:gridCol w:w="595"/>
        <w:gridCol w:w="232"/>
        <w:gridCol w:w="1554"/>
        <w:gridCol w:w="357"/>
        <w:gridCol w:w="357"/>
        <w:gridCol w:w="232"/>
        <w:gridCol w:w="3969"/>
        <w:gridCol w:w="451"/>
        <w:gridCol w:w="1619"/>
      </w:tblGrid>
      <w:tr w:rsidR="00306D3F">
        <w:trPr>
          <w:trHeight w:hRule="exact" w:val="284"/>
        </w:trPr>
        <w:tc>
          <w:tcPr>
            <w:tcW w:w="5000" w:type="pct"/>
            <w:gridSpan w:val="10"/>
          </w:tcPr>
          <w:p w:rsidR="00306D3F" w:rsidRPr="006F66D8" w:rsidRDefault="00306D3F" w:rsidP="007A4252">
            <w:pPr>
              <w:ind w:firstLine="7560"/>
              <w:jc w:val="right"/>
              <w:rPr>
                <w:rFonts w:ascii="Georgia" w:hAnsi="Georgia"/>
                <w:b/>
              </w:rPr>
            </w:pPr>
          </w:p>
        </w:tc>
      </w:tr>
      <w:tr w:rsidR="00306D3F">
        <w:trPr>
          <w:trHeight w:hRule="exact" w:val="1361"/>
        </w:trPr>
        <w:tc>
          <w:tcPr>
            <w:tcW w:w="5000" w:type="pct"/>
            <w:gridSpan w:val="10"/>
          </w:tcPr>
          <w:p w:rsidR="00306D3F" w:rsidRDefault="00306D3F">
            <w:pPr>
              <w:jc w:val="center"/>
              <w:rPr>
                <w:rFonts w:ascii="Georgia" w:hAnsi="Georgia"/>
                <w:b/>
              </w:rPr>
            </w:pPr>
            <w:r>
              <w:rPr>
                <w:rFonts w:ascii="Georgia" w:hAnsi="Georgia"/>
                <w:b/>
              </w:rPr>
              <w:t>Муниципальное образование</w:t>
            </w:r>
          </w:p>
          <w:p w:rsidR="00306D3F" w:rsidRDefault="00306D3F">
            <w:pPr>
              <w:jc w:val="center"/>
              <w:rPr>
                <w:rFonts w:ascii="Georgia" w:hAnsi="Georgia"/>
                <w:b/>
              </w:rPr>
            </w:pPr>
            <w:r>
              <w:rPr>
                <w:rFonts w:ascii="Georgia" w:hAnsi="Georgia"/>
                <w:b/>
              </w:rPr>
              <w:t>Октябрьский район</w:t>
            </w:r>
          </w:p>
          <w:p w:rsidR="00306D3F" w:rsidRDefault="00306D3F">
            <w:pPr>
              <w:jc w:val="center"/>
              <w:rPr>
                <w:rFonts w:ascii="Georgia" w:hAnsi="Georgia"/>
                <w:sz w:val="8"/>
                <w:szCs w:val="8"/>
              </w:rPr>
            </w:pPr>
          </w:p>
          <w:p w:rsidR="00306D3F" w:rsidRDefault="00306D3F">
            <w:pPr>
              <w:jc w:val="center"/>
              <w:rPr>
                <w:b/>
                <w:sz w:val="26"/>
                <w:szCs w:val="26"/>
              </w:rPr>
            </w:pPr>
            <w:r>
              <w:rPr>
                <w:b/>
                <w:sz w:val="26"/>
                <w:szCs w:val="26"/>
              </w:rPr>
              <w:t>ДУМА</w:t>
            </w:r>
          </w:p>
          <w:p w:rsidR="00306D3F" w:rsidRDefault="00306D3F">
            <w:pPr>
              <w:jc w:val="center"/>
              <w:rPr>
                <w:b/>
                <w:spacing w:val="40"/>
                <w:sz w:val="12"/>
                <w:szCs w:val="12"/>
              </w:rPr>
            </w:pPr>
          </w:p>
          <w:p w:rsidR="00306D3F" w:rsidRDefault="00306D3F">
            <w:pPr>
              <w:jc w:val="center"/>
              <w:rPr>
                <w:b/>
                <w:spacing w:val="40"/>
                <w:sz w:val="26"/>
                <w:szCs w:val="26"/>
              </w:rPr>
            </w:pPr>
            <w:r>
              <w:rPr>
                <w:b/>
                <w:spacing w:val="40"/>
                <w:sz w:val="26"/>
                <w:szCs w:val="26"/>
              </w:rPr>
              <w:t>РЕШЕНИЕ</w:t>
            </w:r>
          </w:p>
        </w:tc>
      </w:tr>
      <w:tr w:rsidR="00306D3F" w:rsidTr="00D3251B">
        <w:trPr>
          <w:trHeight w:hRule="exact" w:val="454"/>
        </w:trPr>
        <w:tc>
          <w:tcPr>
            <w:tcW w:w="118" w:type="pct"/>
            <w:tcMar>
              <w:left w:w="0" w:type="dxa"/>
              <w:right w:w="0" w:type="dxa"/>
            </w:tcMar>
            <w:vAlign w:val="bottom"/>
          </w:tcPr>
          <w:p w:rsidR="00306D3F" w:rsidRDefault="00306D3F">
            <w:pPr>
              <w:jc w:val="right"/>
            </w:pPr>
            <w:r>
              <w:t>«</w:t>
            </w:r>
          </w:p>
        </w:tc>
        <w:tc>
          <w:tcPr>
            <w:tcW w:w="310" w:type="pct"/>
            <w:tcBorders>
              <w:bottom w:val="single" w:sz="4" w:space="0" w:color="auto"/>
            </w:tcBorders>
            <w:tcMar>
              <w:left w:w="0" w:type="dxa"/>
              <w:right w:w="0" w:type="dxa"/>
            </w:tcMar>
            <w:vAlign w:val="bottom"/>
          </w:tcPr>
          <w:p w:rsidR="00306D3F" w:rsidRDefault="003B3F97">
            <w:pPr>
              <w:jc w:val="center"/>
            </w:pPr>
            <w:r>
              <w:t>07</w:t>
            </w:r>
          </w:p>
        </w:tc>
        <w:tc>
          <w:tcPr>
            <w:tcW w:w="121" w:type="pct"/>
            <w:tcMar>
              <w:left w:w="0" w:type="dxa"/>
              <w:right w:w="0" w:type="dxa"/>
            </w:tcMar>
            <w:vAlign w:val="bottom"/>
          </w:tcPr>
          <w:p w:rsidR="00306D3F" w:rsidRDefault="00306D3F">
            <w:r>
              <w:t>»</w:t>
            </w:r>
          </w:p>
        </w:tc>
        <w:tc>
          <w:tcPr>
            <w:tcW w:w="810" w:type="pct"/>
            <w:tcBorders>
              <w:bottom w:val="single" w:sz="4" w:space="0" w:color="auto"/>
            </w:tcBorders>
            <w:tcMar>
              <w:left w:w="0" w:type="dxa"/>
              <w:right w:w="0" w:type="dxa"/>
            </w:tcMar>
            <w:vAlign w:val="bottom"/>
          </w:tcPr>
          <w:p w:rsidR="00306D3F" w:rsidRPr="005B2019" w:rsidRDefault="003B3F97">
            <w:pPr>
              <w:jc w:val="center"/>
            </w:pPr>
            <w:r>
              <w:t>февраля</w:t>
            </w:r>
            <w:r w:rsidR="005B2019">
              <w:t xml:space="preserve"> </w:t>
            </w:r>
          </w:p>
        </w:tc>
        <w:tc>
          <w:tcPr>
            <w:tcW w:w="186" w:type="pct"/>
            <w:tcMar>
              <w:left w:w="0" w:type="dxa"/>
              <w:right w:w="0" w:type="dxa"/>
            </w:tcMar>
            <w:vAlign w:val="bottom"/>
          </w:tcPr>
          <w:p w:rsidR="00306D3F" w:rsidRDefault="00306D3F">
            <w:pPr>
              <w:ind w:right="-108"/>
              <w:jc w:val="right"/>
            </w:pPr>
            <w:r>
              <w:t>2</w:t>
            </w:r>
            <w:r w:rsidR="00683399">
              <w:t>0</w:t>
            </w:r>
            <w:r>
              <w:t>0</w:t>
            </w:r>
          </w:p>
        </w:tc>
        <w:tc>
          <w:tcPr>
            <w:tcW w:w="186" w:type="pct"/>
            <w:tcMar>
              <w:left w:w="0" w:type="dxa"/>
              <w:right w:w="0" w:type="dxa"/>
            </w:tcMar>
            <w:vAlign w:val="bottom"/>
          </w:tcPr>
          <w:p w:rsidR="00306D3F" w:rsidRPr="006711AB" w:rsidRDefault="004501D0" w:rsidP="009569C6">
            <w:pPr>
              <w:rPr>
                <w:lang w:val="en-US"/>
              </w:rPr>
            </w:pPr>
            <w:r>
              <w:t>2</w:t>
            </w:r>
            <w:r w:rsidR="006C5AE2">
              <w:t>3</w:t>
            </w:r>
          </w:p>
        </w:tc>
        <w:tc>
          <w:tcPr>
            <w:tcW w:w="121" w:type="pct"/>
            <w:tcMar>
              <w:left w:w="0" w:type="dxa"/>
              <w:right w:w="0" w:type="dxa"/>
            </w:tcMar>
            <w:vAlign w:val="bottom"/>
          </w:tcPr>
          <w:p w:rsidR="00306D3F" w:rsidRDefault="00306D3F">
            <w:r>
              <w:t>г.</w:t>
            </w:r>
          </w:p>
        </w:tc>
        <w:tc>
          <w:tcPr>
            <w:tcW w:w="2069" w:type="pct"/>
            <w:vAlign w:val="bottom"/>
          </w:tcPr>
          <w:p w:rsidR="00306D3F" w:rsidRDefault="00306D3F"/>
        </w:tc>
        <w:tc>
          <w:tcPr>
            <w:tcW w:w="235" w:type="pct"/>
            <w:vAlign w:val="bottom"/>
          </w:tcPr>
          <w:p w:rsidR="00306D3F" w:rsidRDefault="00306D3F">
            <w:pPr>
              <w:jc w:val="center"/>
            </w:pPr>
            <w:r>
              <w:t>№</w:t>
            </w:r>
          </w:p>
        </w:tc>
        <w:tc>
          <w:tcPr>
            <w:tcW w:w="842" w:type="pct"/>
            <w:tcBorders>
              <w:bottom w:val="single" w:sz="4" w:space="0" w:color="auto"/>
            </w:tcBorders>
            <w:vAlign w:val="bottom"/>
          </w:tcPr>
          <w:p w:rsidR="00306D3F" w:rsidRDefault="003B3F97">
            <w:pPr>
              <w:jc w:val="center"/>
            </w:pPr>
            <w:r>
              <w:t>853</w:t>
            </w:r>
          </w:p>
        </w:tc>
      </w:tr>
      <w:tr w:rsidR="00306D3F">
        <w:trPr>
          <w:trHeight w:hRule="exact" w:val="567"/>
        </w:trPr>
        <w:tc>
          <w:tcPr>
            <w:tcW w:w="5000" w:type="pct"/>
            <w:gridSpan w:val="10"/>
          </w:tcPr>
          <w:p w:rsidR="00306D3F" w:rsidRDefault="00306D3F">
            <w:pPr>
              <w:jc w:val="center"/>
              <w:rPr>
                <w:sz w:val="16"/>
                <w:szCs w:val="16"/>
              </w:rPr>
            </w:pPr>
          </w:p>
          <w:p w:rsidR="00306D3F" w:rsidRDefault="0062681F" w:rsidP="0062681F">
            <w:r>
              <w:t>п</w:t>
            </w:r>
            <w:r w:rsidR="00306D3F">
              <w:t>гт. Октябрьское</w:t>
            </w:r>
          </w:p>
        </w:tc>
      </w:tr>
    </w:tbl>
    <w:p w:rsidR="00306D3F" w:rsidRDefault="00306D3F"/>
    <w:p w:rsidR="00E537E7" w:rsidRDefault="008E51E5">
      <w:r w:rsidRPr="00791C87">
        <w:t xml:space="preserve">Об информации </w:t>
      </w:r>
      <w:r>
        <w:t>о</w:t>
      </w:r>
      <w:r w:rsidRPr="005E164B">
        <w:t xml:space="preserve"> работе </w:t>
      </w:r>
      <w:r w:rsidR="00E537E7">
        <w:t>О</w:t>
      </w:r>
      <w:r w:rsidR="00CD5767" w:rsidRPr="00CD5767">
        <w:t>тдела</w:t>
      </w:r>
      <w:r w:rsidR="00E537E7" w:rsidRPr="00E537E7">
        <w:t xml:space="preserve"> </w:t>
      </w:r>
      <w:r w:rsidR="00E537E7">
        <w:t>Министерства</w:t>
      </w:r>
      <w:r w:rsidR="00CD5767" w:rsidRPr="00CD5767">
        <w:t xml:space="preserve"> </w:t>
      </w:r>
    </w:p>
    <w:p w:rsidR="00CD5767" w:rsidRDefault="00CD5767">
      <w:r w:rsidRPr="00CD5767">
        <w:t>внутренних дел</w:t>
      </w:r>
      <w:r w:rsidR="00E537E7">
        <w:t xml:space="preserve"> Российской Федерации</w:t>
      </w:r>
    </w:p>
    <w:p w:rsidR="00CD5767" w:rsidRDefault="00CD5767">
      <w:r w:rsidRPr="00CD5767">
        <w:t>по Октябрьскому району по борьбе с преступностью</w:t>
      </w:r>
    </w:p>
    <w:p w:rsidR="00844AE7" w:rsidRDefault="00CD5767">
      <w:r w:rsidRPr="00CD5767">
        <w:t xml:space="preserve">на территории </w:t>
      </w:r>
      <w:r>
        <w:t xml:space="preserve">Октябрьского района </w:t>
      </w:r>
    </w:p>
    <w:p w:rsidR="00101818" w:rsidRPr="00CD5767" w:rsidRDefault="00CD5767">
      <w:r>
        <w:t>за</w:t>
      </w:r>
      <w:r w:rsidR="007040AD">
        <w:t xml:space="preserve"> </w:t>
      </w:r>
      <w:r w:rsidR="004501D0">
        <w:t>20</w:t>
      </w:r>
      <w:r w:rsidR="006711AB" w:rsidRPr="008E51E5">
        <w:t>2</w:t>
      </w:r>
      <w:r w:rsidR="00C15335">
        <w:t>2</w:t>
      </w:r>
      <w:r>
        <w:t xml:space="preserve"> год</w:t>
      </w:r>
    </w:p>
    <w:p w:rsidR="00101818" w:rsidRPr="00CD5767" w:rsidRDefault="00101818"/>
    <w:p w:rsidR="005F7A76" w:rsidRDefault="005F7A76"/>
    <w:p w:rsidR="00A051F8" w:rsidRDefault="00101818" w:rsidP="00CD5767">
      <w:pPr>
        <w:jc w:val="both"/>
      </w:pPr>
      <w:r>
        <w:tab/>
        <w:t xml:space="preserve">Заслушав </w:t>
      </w:r>
      <w:r w:rsidR="008E51E5" w:rsidRPr="00791C87">
        <w:t>информаци</w:t>
      </w:r>
      <w:r w:rsidR="008E51E5">
        <w:t>ю</w:t>
      </w:r>
      <w:r w:rsidR="008E51E5" w:rsidRPr="00791C87">
        <w:t xml:space="preserve"> </w:t>
      </w:r>
      <w:r w:rsidR="008E51E5">
        <w:t>о</w:t>
      </w:r>
      <w:r w:rsidR="008E51E5" w:rsidRPr="005E164B">
        <w:t xml:space="preserve"> работе </w:t>
      </w:r>
      <w:r w:rsidR="00E537E7">
        <w:t>О</w:t>
      </w:r>
      <w:r w:rsidR="00CD5767" w:rsidRPr="00CD5767">
        <w:t xml:space="preserve">тдела </w:t>
      </w:r>
      <w:r w:rsidR="00E537E7">
        <w:t xml:space="preserve">Министерства </w:t>
      </w:r>
      <w:r w:rsidR="00CD5767" w:rsidRPr="00CD5767">
        <w:t>внутренних дел</w:t>
      </w:r>
      <w:r w:rsidR="00E537E7">
        <w:t xml:space="preserve"> Российской Федерации</w:t>
      </w:r>
      <w:r w:rsidR="00CD5767">
        <w:t xml:space="preserve"> </w:t>
      </w:r>
      <w:r w:rsidR="00CD5767" w:rsidRPr="00CD5767">
        <w:t>по Октябрьскому району</w:t>
      </w:r>
      <w:r w:rsidR="00D3251B">
        <w:t xml:space="preserve"> </w:t>
      </w:r>
      <w:r w:rsidR="00CD5767" w:rsidRPr="00CD5767">
        <w:t>по борьбе с преступностью</w:t>
      </w:r>
      <w:r w:rsidR="00CD5767">
        <w:t xml:space="preserve"> </w:t>
      </w:r>
      <w:r w:rsidR="00CD5767" w:rsidRPr="00CD5767">
        <w:t xml:space="preserve">на территории </w:t>
      </w:r>
      <w:r w:rsidR="00CD5767">
        <w:t xml:space="preserve">Октябрьского района за </w:t>
      </w:r>
      <w:r w:rsidR="004501D0">
        <w:t>20</w:t>
      </w:r>
      <w:r w:rsidR="008E51E5">
        <w:t>2</w:t>
      </w:r>
      <w:r w:rsidR="00C15335">
        <w:t>2</w:t>
      </w:r>
      <w:r w:rsidR="00D3251B">
        <w:t xml:space="preserve"> год</w:t>
      </w:r>
      <w:r w:rsidR="00AC49F3">
        <w:t>, Дума Октябрьского района РЕШИЛА</w:t>
      </w:r>
      <w:r w:rsidR="00A051F8">
        <w:t>:</w:t>
      </w:r>
    </w:p>
    <w:p w:rsidR="00AC49F3" w:rsidRDefault="00D3251B" w:rsidP="006E4772">
      <w:pPr>
        <w:ind w:firstLine="708"/>
        <w:jc w:val="both"/>
      </w:pPr>
      <w:r>
        <w:t xml:space="preserve">1. </w:t>
      </w:r>
      <w:r w:rsidR="008E51E5">
        <w:t>И</w:t>
      </w:r>
      <w:r w:rsidR="008E51E5" w:rsidRPr="00791C87">
        <w:t>нформаци</w:t>
      </w:r>
      <w:r w:rsidR="008E51E5">
        <w:t>ю</w:t>
      </w:r>
      <w:r w:rsidR="008E51E5" w:rsidRPr="00791C87">
        <w:t xml:space="preserve"> </w:t>
      </w:r>
      <w:r w:rsidR="008E51E5">
        <w:t>о</w:t>
      </w:r>
      <w:r w:rsidR="008E51E5" w:rsidRPr="005E164B">
        <w:t xml:space="preserve"> работе </w:t>
      </w:r>
      <w:r w:rsidR="00351917">
        <w:t>О</w:t>
      </w:r>
      <w:r w:rsidR="000D18B7" w:rsidRPr="00CD5767">
        <w:t>тдела</w:t>
      </w:r>
      <w:r w:rsidR="00351917">
        <w:t xml:space="preserve"> Министерства </w:t>
      </w:r>
      <w:r w:rsidR="000D18B7" w:rsidRPr="00CD5767">
        <w:t>внутренних дел</w:t>
      </w:r>
      <w:r w:rsidR="000D18B7">
        <w:t xml:space="preserve"> </w:t>
      </w:r>
      <w:r w:rsidR="00351917">
        <w:t xml:space="preserve">Российской Федерации </w:t>
      </w:r>
      <w:r w:rsidR="000D18B7" w:rsidRPr="00CD5767">
        <w:t>по Октябрьскому району по борьбе с преступностью</w:t>
      </w:r>
      <w:r w:rsidR="000D18B7">
        <w:t xml:space="preserve"> </w:t>
      </w:r>
      <w:r w:rsidR="000D18B7" w:rsidRPr="00CD5767">
        <w:t xml:space="preserve">на территории </w:t>
      </w:r>
      <w:r w:rsidR="000D18B7">
        <w:t>Октябрьского района за</w:t>
      </w:r>
      <w:r w:rsidR="004501D0">
        <w:t xml:space="preserve"> 20</w:t>
      </w:r>
      <w:r w:rsidR="006711AB" w:rsidRPr="006711AB">
        <w:t>2</w:t>
      </w:r>
      <w:r w:rsidR="00C15335">
        <w:t>2</w:t>
      </w:r>
      <w:r>
        <w:t xml:space="preserve"> </w:t>
      </w:r>
      <w:r w:rsidR="007B69FA">
        <w:t>год</w:t>
      </w:r>
      <w:r w:rsidR="008E51E5">
        <w:t xml:space="preserve"> принять к сведению</w:t>
      </w:r>
      <w:r w:rsidR="007B69FA">
        <w:t xml:space="preserve"> согласно</w:t>
      </w:r>
      <w:r w:rsidR="00AC49F3">
        <w:t xml:space="preserve"> приложению.</w:t>
      </w:r>
    </w:p>
    <w:p w:rsidR="0006026B" w:rsidRPr="006E4772" w:rsidRDefault="008E51E5" w:rsidP="006E4772">
      <w:pPr>
        <w:ind w:firstLine="708"/>
        <w:jc w:val="both"/>
      </w:pPr>
      <w:r>
        <w:t>2</w:t>
      </w:r>
      <w:r w:rsidR="0006026B">
        <w:t xml:space="preserve">. Контроль за выполнением решения возложить на постоянную комиссию Думы Октябрьского района по социальным вопросам. </w:t>
      </w:r>
    </w:p>
    <w:p w:rsidR="00D4271F" w:rsidRPr="006E4772" w:rsidRDefault="006E4772" w:rsidP="00D4271F">
      <w:pPr>
        <w:ind w:firstLine="708"/>
        <w:jc w:val="both"/>
      </w:pPr>
      <w:r w:rsidRPr="006E4772">
        <w:t xml:space="preserve"> </w:t>
      </w:r>
    </w:p>
    <w:p w:rsidR="00306D3F" w:rsidRDefault="00306D3F"/>
    <w:p w:rsidR="005F7A76" w:rsidRDefault="005F7A76"/>
    <w:tbl>
      <w:tblPr>
        <w:tblW w:w="9795" w:type="dxa"/>
        <w:tblLook w:val="01E0" w:firstRow="1" w:lastRow="1" w:firstColumn="1" w:lastColumn="1" w:noHBand="0" w:noVBand="0"/>
      </w:tblPr>
      <w:tblGrid>
        <w:gridCol w:w="1418"/>
        <w:gridCol w:w="445"/>
        <w:gridCol w:w="576"/>
        <w:gridCol w:w="944"/>
        <w:gridCol w:w="1261"/>
        <w:gridCol w:w="2980"/>
        <w:gridCol w:w="2171"/>
      </w:tblGrid>
      <w:tr w:rsidR="00306D3F" w:rsidRPr="00155491" w:rsidTr="00705276">
        <w:trPr>
          <w:trHeight w:val="197"/>
        </w:trPr>
        <w:tc>
          <w:tcPr>
            <w:tcW w:w="4644" w:type="dxa"/>
            <w:gridSpan w:val="5"/>
          </w:tcPr>
          <w:p w:rsidR="00306D3F" w:rsidRPr="00155491" w:rsidRDefault="008F70BD" w:rsidP="008F70BD">
            <w:r>
              <w:t xml:space="preserve">Председатель Думы Октябрьского </w:t>
            </w:r>
            <w:r w:rsidR="003C387F">
              <w:t>район</w:t>
            </w:r>
            <w:r w:rsidR="00705276">
              <w:t>а</w:t>
            </w:r>
          </w:p>
        </w:tc>
        <w:tc>
          <w:tcPr>
            <w:tcW w:w="2980" w:type="dxa"/>
          </w:tcPr>
          <w:p w:rsidR="00306D3F" w:rsidRPr="00155491" w:rsidRDefault="002C1CC2" w:rsidP="008F70BD">
            <w:bookmarkStart w:id="0" w:name="_GoBack"/>
            <w:bookmarkEnd w:id="0"/>
            <w:r>
              <w:t xml:space="preserve"> </w:t>
            </w:r>
          </w:p>
        </w:tc>
        <w:tc>
          <w:tcPr>
            <w:tcW w:w="2171" w:type="dxa"/>
          </w:tcPr>
          <w:p w:rsidR="00744AB0" w:rsidRPr="00155491" w:rsidRDefault="002C1CC2" w:rsidP="008F70BD">
            <w:r>
              <w:t>Е.И.</w:t>
            </w:r>
            <w:r w:rsidR="003C387F">
              <w:t xml:space="preserve"> </w:t>
            </w:r>
            <w:r>
              <w:t xml:space="preserve">Соломаха </w:t>
            </w:r>
          </w:p>
        </w:tc>
      </w:tr>
      <w:tr w:rsidR="00D4271F" w:rsidRPr="00277BF7" w:rsidTr="00705276">
        <w:trPr>
          <w:gridAfter w:val="3"/>
          <w:wAfter w:w="6412" w:type="dxa"/>
        </w:trPr>
        <w:tc>
          <w:tcPr>
            <w:tcW w:w="1418" w:type="dxa"/>
            <w:tcBorders>
              <w:bottom w:val="single" w:sz="4" w:space="0" w:color="auto"/>
            </w:tcBorders>
          </w:tcPr>
          <w:p w:rsidR="00D4271F" w:rsidRPr="00277BF7" w:rsidRDefault="003B3F97" w:rsidP="00BB6CEE">
            <w:r>
              <w:t>07.02.2023</w:t>
            </w:r>
          </w:p>
        </w:tc>
        <w:tc>
          <w:tcPr>
            <w:tcW w:w="445" w:type="dxa"/>
          </w:tcPr>
          <w:p w:rsidR="00D4271F" w:rsidRPr="00277BF7" w:rsidRDefault="00D4271F" w:rsidP="00BB6CEE">
            <w:r w:rsidRPr="00277BF7">
              <w:t>№</w:t>
            </w:r>
          </w:p>
        </w:tc>
        <w:tc>
          <w:tcPr>
            <w:tcW w:w="576" w:type="dxa"/>
            <w:tcBorders>
              <w:bottom w:val="single" w:sz="4" w:space="0" w:color="auto"/>
            </w:tcBorders>
          </w:tcPr>
          <w:p w:rsidR="00D4271F" w:rsidRPr="00277BF7" w:rsidRDefault="003B3F97" w:rsidP="00BB6CEE">
            <w:pPr>
              <w:jc w:val="center"/>
            </w:pPr>
            <w:r>
              <w:t>853</w:t>
            </w:r>
          </w:p>
        </w:tc>
        <w:tc>
          <w:tcPr>
            <w:tcW w:w="944" w:type="dxa"/>
          </w:tcPr>
          <w:p w:rsidR="00D4271F" w:rsidRPr="00277BF7" w:rsidRDefault="00D4271F" w:rsidP="003B3F97">
            <w:r w:rsidRPr="00277BF7">
              <w:t>«Д-</w:t>
            </w:r>
            <w:r w:rsidR="007B69FA">
              <w:t>5</w:t>
            </w:r>
            <w:r w:rsidRPr="00277BF7">
              <w:t>»</w:t>
            </w:r>
          </w:p>
        </w:tc>
      </w:tr>
    </w:tbl>
    <w:p w:rsidR="008B473B" w:rsidRDefault="008B473B"/>
    <w:p w:rsidR="008B473B" w:rsidRDefault="008B473B"/>
    <w:p w:rsidR="008B473B" w:rsidRDefault="008B473B"/>
    <w:p w:rsidR="008B473B" w:rsidRDefault="008B473B"/>
    <w:p w:rsidR="008B473B" w:rsidRDefault="008B473B"/>
    <w:p w:rsidR="008B473B" w:rsidRDefault="008B473B"/>
    <w:p w:rsidR="008B473B" w:rsidRDefault="008B473B"/>
    <w:p w:rsidR="008B473B" w:rsidRDefault="008B473B"/>
    <w:p w:rsidR="008B473B" w:rsidRDefault="008B473B"/>
    <w:p w:rsidR="008B473B" w:rsidRDefault="008B473B"/>
    <w:p w:rsidR="008B473B" w:rsidRDefault="008B473B"/>
    <w:p w:rsidR="008E51E5" w:rsidRDefault="008E51E5"/>
    <w:p w:rsidR="00BD004E" w:rsidRDefault="00BD004E"/>
    <w:p w:rsidR="003B3F97" w:rsidRDefault="003B3F97"/>
    <w:p w:rsidR="003B3F97" w:rsidRDefault="003B3F97"/>
    <w:p w:rsidR="003B3F97" w:rsidRDefault="003B3F97"/>
    <w:p w:rsidR="003B3F97" w:rsidRDefault="003B3F97"/>
    <w:p w:rsidR="003B3F97" w:rsidRDefault="003B3F97"/>
    <w:p w:rsidR="00002B5E" w:rsidRDefault="00002B5E" w:rsidP="002C1CC2"/>
    <w:p w:rsidR="00565C98" w:rsidRDefault="00565C98" w:rsidP="002C1CC2">
      <w:pPr>
        <w:rPr>
          <w:sz w:val="26"/>
          <w:szCs w:val="26"/>
        </w:rPr>
      </w:pPr>
    </w:p>
    <w:p w:rsidR="00BD004E" w:rsidRPr="00D11F66" w:rsidRDefault="00BD004E" w:rsidP="00BD004E">
      <w:pPr>
        <w:jc w:val="right"/>
      </w:pPr>
      <w:r w:rsidRPr="00D11F66">
        <w:lastRenderedPageBreak/>
        <w:t xml:space="preserve">Приложение </w:t>
      </w:r>
    </w:p>
    <w:p w:rsidR="00BD004E" w:rsidRPr="00D11F66" w:rsidRDefault="00BD004E" w:rsidP="00BD004E">
      <w:pPr>
        <w:jc w:val="right"/>
      </w:pPr>
      <w:r w:rsidRPr="00D11F66">
        <w:t>к решению Думы</w:t>
      </w:r>
      <w:r w:rsidR="005D3D3F">
        <w:t xml:space="preserve"> </w:t>
      </w:r>
      <w:r w:rsidRPr="00D11F66">
        <w:t xml:space="preserve">Октябрьского района </w:t>
      </w:r>
    </w:p>
    <w:p w:rsidR="00BD004E" w:rsidRPr="00D11F66" w:rsidRDefault="00BD004E" w:rsidP="00BD004E">
      <w:pPr>
        <w:jc w:val="right"/>
      </w:pPr>
      <w:r w:rsidRPr="00D11F66">
        <w:t>от «</w:t>
      </w:r>
      <w:r w:rsidR="003B3F97" w:rsidRPr="00D11F66">
        <w:t>07</w:t>
      </w:r>
      <w:r w:rsidRPr="00D11F66">
        <w:t>»</w:t>
      </w:r>
      <w:r w:rsidR="00793829" w:rsidRPr="00D11F66">
        <w:t xml:space="preserve"> </w:t>
      </w:r>
      <w:r w:rsidR="003B3F97" w:rsidRPr="00D11F66">
        <w:t>февраля</w:t>
      </w:r>
      <w:r w:rsidRPr="00D11F66">
        <w:t xml:space="preserve"> 2</w:t>
      </w:r>
      <w:r w:rsidR="004501D0" w:rsidRPr="00D11F66">
        <w:t>02</w:t>
      </w:r>
      <w:r w:rsidR="00C15335" w:rsidRPr="00D11F66">
        <w:t>3</w:t>
      </w:r>
      <w:r w:rsidRPr="00D11F66">
        <w:t xml:space="preserve"> №</w:t>
      </w:r>
      <w:r w:rsidR="003B3F97" w:rsidRPr="00D11F66">
        <w:t xml:space="preserve"> 853</w:t>
      </w:r>
    </w:p>
    <w:p w:rsidR="00982945" w:rsidRPr="00D11F66" w:rsidRDefault="00982945" w:rsidP="00BD004E">
      <w:pPr>
        <w:jc w:val="center"/>
      </w:pPr>
    </w:p>
    <w:p w:rsidR="00511409" w:rsidRPr="00D11F66" w:rsidRDefault="00511409" w:rsidP="00BD004E">
      <w:pPr>
        <w:jc w:val="center"/>
      </w:pPr>
    </w:p>
    <w:p w:rsidR="00BD004E" w:rsidRPr="00D11F66" w:rsidRDefault="008E51E5" w:rsidP="00BD004E">
      <w:pPr>
        <w:jc w:val="center"/>
      </w:pPr>
      <w:r w:rsidRPr="00D11F66">
        <w:t xml:space="preserve">Информация </w:t>
      </w:r>
      <w:r w:rsidR="00BD004E" w:rsidRPr="00D11F66">
        <w:t xml:space="preserve">о работе Отдела Министерства внутренних дел Российской Федерации по Октябрьскому району по борьбе с преступностью </w:t>
      </w:r>
    </w:p>
    <w:p w:rsidR="00BD004E" w:rsidRPr="00D11F66" w:rsidRDefault="00BD004E" w:rsidP="00BD004E">
      <w:pPr>
        <w:jc w:val="center"/>
      </w:pPr>
      <w:r w:rsidRPr="00D11F66">
        <w:t>на террит</w:t>
      </w:r>
      <w:r w:rsidR="004501D0" w:rsidRPr="00D11F66">
        <w:t>ории Октябрьского района за 20</w:t>
      </w:r>
      <w:r w:rsidR="006711AB" w:rsidRPr="00D11F66">
        <w:t>2</w:t>
      </w:r>
      <w:r w:rsidR="00C15335" w:rsidRPr="00D11F66">
        <w:t>2</w:t>
      </w:r>
      <w:r w:rsidRPr="00D11F66">
        <w:t xml:space="preserve"> год</w:t>
      </w:r>
    </w:p>
    <w:p w:rsidR="00511409" w:rsidRPr="00D11F66" w:rsidRDefault="00511409" w:rsidP="00511409">
      <w:pPr>
        <w:ind w:right="56" w:firstLine="709"/>
        <w:jc w:val="both"/>
      </w:pPr>
    </w:p>
    <w:p w:rsidR="00C15335" w:rsidRPr="00D11F66" w:rsidRDefault="00C15335" w:rsidP="00C15335">
      <w:pPr>
        <w:ind w:firstLine="720"/>
        <w:jc w:val="both"/>
      </w:pPr>
      <w:r w:rsidRPr="00D11F66">
        <w:t>Оперативно-служебная деятельность Отдела МВД России по Октябрьскому району построена в свете требований Директивы МВД России от 03.11.2021 №1дсп «О приоритетных направлениях деятельности органов внутренних дел Российской Федерации в 2022 году», в соответствии с поставленными задачами Президентом России, Управлением Министерства внутренних дел Российской Федерации по ХМАО-Югре, в результате выполнения которых удалось сохранить стабильной и контролируемой оперативную обстановку на территории района и достичь положительных результатов по ряду направлений оперативно-служебной деятельности.</w:t>
      </w:r>
    </w:p>
    <w:p w:rsidR="00C15335" w:rsidRPr="00D11F66" w:rsidRDefault="00C15335" w:rsidP="00C15335">
      <w:pPr>
        <w:ind w:right="56" w:firstLine="709"/>
        <w:jc w:val="both"/>
      </w:pPr>
      <w:r w:rsidRPr="00D11F66">
        <w:t>Силами Отдела обеспечена охрана общественного порядка и общественной безопасности при проведении на территории Октябрьского района массовых мероприятий. Всего проведено 183 мероприятия, из них: 128 культурно-зрелищных и религиозных мероприятий,</w:t>
      </w:r>
      <w:r w:rsidRPr="00D11F66">
        <w:rPr>
          <w:b/>
        </w:rPr>
        <w:t xml:space="preserve"> </w:t>
      </w:r>
      <w:r w:rsidRPr="00D11F66">
        <w:t>22 спортивных мероприятия, в которых приняли участие 39126 человек, при проведении мероприятий сотрудники ОМВД были задействованы 490 раз. При проведении культурно-массовых и спортивных мероприятий нарушений общественного порядка и общественной безопасности не допущено.</w:t>
      </w:r>
    </w:p>
    <w:p w:rsidR="00C15335" w:rsidRPr="00D11F66" w:rsidRDefault="00C15335" w:rsidP="00C15335">
      <w:pPr>
        <w:ind w:right="56" w:firstLine="709"/>
        <w:jc w:val="both"/>
      </w:pPr>
      <w:r w:rsidRPr="00D11F66">
        <w:t>В целях выполнения задач по охране здоровья, жизни, имущества граждан, общественного порядка и общественной безопасности на обслуживаемой территории организовано и проведено 46 оперативно-профилактических мероприятий, 3 оперативно-профилактических операции, 9 профилактических мероприятий, 1 общероссийская акция.</w:t>
      </w:r>
    </w:p>
    <w:p w:rsidR="00C15335" w:rsidRPr="00D11F66" w:rsidRDefault="00C15335" w:rsidP="00C15335">
      <w:pPr>
        <w:ind w:firstLine="720"/>
        <w:jc w:val="both"/>
      </w:pPr>
      <w:r w:rsidRPr="00D11F66">
        <w:t xml:space="preserve">Обеспечено выполнение государственной функции, населению оказано более четырех тысяч государственных услуг (4145; 2021г.-4108), доля оказанных услуг в электронном виде составила 88,4% (3663). По линии миграции оказано 1937 </w:t>
      </w:r>
      <w:proofErr w:type="spellStart"/>
      <w:r w:rsidRPr="00D11F66">
        <w:t>гос.услуг</w:t>
      </w:r>
      <w:proofErr w:type="spellEnd"/>
      <w:r w:rsidRPr="00D11F66">
        <w:t xml:space="preserve"> (в электронном виде 1853 или 95,7%), по линии безопасности дорожного движения – 2208 </w:t>
      </w:r>
      <w:proofErr w:type="spellStart"/>
      <w:r w:rsidRPr="00D11F66">
        <w:t>гос.услуг</w:t>
      </w:r>
      <w:proofErr w:type="spellEnd"/>
      <w:r w:rsidRPr="00D11F66">
        <w:t xml:space="preserve"> (в электронном виде 1810 или 81,9%).</w:t>
      </w:r>
    </w:p>
    <w:p w:rsidR="00C15335" w:rsidRPr="00D11F66" w:rsidRDefault="00C15335" w:rsidP="00C15335">
      <w:pPr>
        <w:ind w:firstLine="720"/>
        <w:jc w:val="both"/>
      </w:pPr>
      <w:r w:rsidRPr="00D11F66">
        <w:t>Общее количество зарегистрированных заявлений (сообщений) о преступлениях, об административных правонарушениях, о происшествиях по итогам 2022 года увеличилось на 6,3% (с 4450 до 4882), при этом с признаками преступлений снизилось на 0,1% (с 2134 до 2132).</w:t>
      </w:r>
    </w:p>
    <w:p w:rsidR="00C15335" w:rsidRPr="00D11F66" w:rsidRDefault="00C15335" w:rsidP="00C15335">
      <w:pPr>
        <w:ind w:firstLine="720"/>
        <w:jc w:val="both"/>
      </w:pPr>
      <w:r w:rsidRPr="00D11F66">
        <w:t xml:space="preserve">Состояние преступности в районе по итогам 2022 года характеризуется снижением общего числа зарегистрированных преступлений по всем линиям (-9,1%; с 396 до 360). </w:t>
      </w:r>
    </w:p>
    <w:p w:rsidR="00C15335" w:rsidRPr="00D11F66" w:rsidRDefault="00C15335" w:rsidP="00C15335">
      <w:pPr>
        <w:ind w:firstLine="720"/>
        <w:jc w:val="both"/>
      </w:pPr>
      <w:r w:rsidRPr="00D11F66">
        <w:t>Увеличилось общее количество преступлений, находящихся в производстве (+4,2%; с 449 до 468), возросло число преступлений, лица по которым установлены (+8,8%; с 317 до 345).</w:t>
      </w:r>
    </w:p>
    <w:p w:rsidR="00C15335" w:rsidRPr="00D11F66" w:rsidRDefault="00C15335" w:rsidP="00C15335">
      <w:pPr>
        <w:ind w:firstLine="720"/>
        <w:jc w:val="both"/>
      </w:pPr>
      <w:r w:rsidRPr="00D11F66">
        <w:t>Улучшены результаты работы в раскрытии преступлений по всем линиям (+30,0%; с 213 до 277), меньше преступлений остались нераскрытыми (-10,3%; со 116 до 104), соответственно возрос удельный вес расследованных преступлений по всем линиям (+8,0%; с 64,7% до 72,7%).</w:t>
      </w:r>
    </w:p>
    <w:p w:rsidR="00C15335" w:rsidRPr="00D11F66" w:rsidRDefault="00C15335" w:rsidP="00C15335">
      <w:pPr>
        <w:ind w:firstLine="720"/>
        <w:jc w:val="both"/>
      </w:pPr>
      <w:r w:rsidRPr="00D11F66">
        <w:t xml:space="preserve">По итогам года сократилось число зарегистрированных тяжких и особо тяжких составов (-12,7%; с 79 до 69), при этом расследовано их больше в 2,4 раза (с 25 до 60). Меньше тяжких преступлений остались нераскрытыми (-30,3%; с 33 до 23), удельный вес расследованных возрос на 29,2% (с 43,1% до 72,3%). </w:t>
      </w:r>
    </w:p>
    <w:p w:rsidR="00C15335" w:rsidRPr="00D11F66" w:rsidRDefault="00C15335" w:rsidP="00C15335">
      <w:pPr>
        <w:ind w:firstLine="720"/>
        <w:jc w:val="both"/>
      </w:pPr>
      <w:r w:rsidRPr="00D11F66">
        <w:t xml:space="preserve">Меньше совершено преступлений против личности (-3,7%; с 81 до 78), меньше фактов причинения тяжкого вреда здоровью (с 8 до 5). От противоправных посягательств погибло 3 граждан (на уровне 2021г.). Больше окончено преступлений против личности </w:t>
      </w:r>
      <w:r w:rsidRPr="00D11F66">
        <w:lastRenderedPageBreak/>
        <w:t>(+57,4%; с 54 до 85), удельный вес расследованных преступлений возрос (с 88,5 до 90,4%). Тяжкие преступления против личности не приостанавливались, приняты решения по 23 преступлениям (против 12).</w:t>
      </w:r>
    </w:p>
    <w:p w:rsidR="00C15335" w:rsidRPr="00D11F66" w:rsidRDefault="00C15335" w:rsidP="00C15335">
      <w:pPr>
        <w:ind w:firstLine="720"/>
        <w:jc w:val="both"/>
      </w:pPr>
      <w:r w:rsidRPr="00D11F66">
        <w:t>Меньше совершено имущественных преступлений (-6,1%; со 164 до 154), в т.ч. без экономических (-5,7%; со 141 до 133). Основной массив (46,7%) преступлений против собственности, по-прежнему, составляют кражи, количество которых в отчетном периоде снизилось (-12,2%; с 82 до 72). На уровне показателя 2021 года число совершенных разбоев (1) и краж автомобилей (1), снизилось число грабежей (с 6 до 2), угонов автотранспорта (с 8 до 7) и краж велосипедов (с 2 до 1).</w:t>
      </w:r>
    </w:p>
    <w:p w:rsidR="00C15335" w:rsidRPr="00D11F66" w:rsidRDefault="00C15335" w:rsidP="00C15335">
      <w:pPr>
        <w:ind w:firstLine="720"/>
        <w:jc w:val="both"/>
      </w:pPr>
      <w:r w:rsidRPr="00D11F66">
        <w:t>Повышена эффективность работы по раскрытию имущественных преступлений. Возросло число раскрытых преступлений против собственности (+61,1%; с 54 до 87), сократилось число приостановленных (-10,1%; с 79 до 71), возрос удельный вес расследованных (с 40,6% до 55,1%). Больше установлено лиц, совершивших имущественные преступления (с 49 до 61).</w:t>
      </w:r>
    </w:p>
    <w:p w:rsidR="00C15335" w:rsidRPr="00D11F66" w:rsidRDefault="00C15335" w:rsidP="00C15335">
      <w:pPr>
        <w:ind w:firstLine="720"/>
        <w:jc w:val="both"/>
      </w:pPr>
      <w:r w:rsidRPr="00D11F66">
        <w:t xml:space="preserve">Отмечается незначительный рост количества преступлений, совершаемых с использованием информационно-телекоммуникационных технологий. Зарегистрировано 72 таких факта (+1,4%; против 71), расследовано таких преступлений в 2 раза больше (с 12 до 24), приостановлено на 1 больше (с 47 до 48), удельный вес расследованных возрос и составил 33,3% (против 20,3%). Совершено 49 мошенничеств с использованием ИТТ (+44,1%; против 34), расследовано – 8 (+2 раза; против 4), приостановлено – 34 (+54,5%; против 22), удельный вес расследованных составил 19,0% (против 15,4%). Зарегистрировано 11 краж, совершенных с использованием ИТТ (против 24), расследовано – 9 (+80,0%; против 5), приостановлено – 6 (-60,0%; против 15), удельный вес расследованных составил 60,0% (против 25,0%). </w:t>
      </w:r>
    </w:p>
    <w:p w:rsidR="00C15335" w:rsidRPr="00D11F66" w:rsidRDefault="00C15335" w:rsidP="00C15335">
      <w:pPr>
        <w:ind w:firstLine="720"/>
        <w:jc w:val="both"/>
      </w:pPr>
      <w:r w:rsidRPr="00D11F66">
        <w:t xml:space="preserve">Меньше выявлено экономических преступлений (-3,7%; с 27 до 26), сотрудниками ОМВД выявлено 24 преступления (+33,3%; против 18), в том числе 7 (-36,4%; против 11) следствие по которым обязательно. Окончено производством экономических преступлений почти в 3 раза больше (29 против 10), приостановлено – 2 (против 5), возрос удельный вес расследованных (93,5% против 66,7%). На территории района выявлено 1 преступление коррупционной направленности (против 3), находится в производстве. </w:t>
      </w:r>
    </w:p>
    <w:p w:rsidR="00C15335" w:rsidRPr="00D11F66" w:rsidRDefault="00C15335" w:rsidP="00C15335">
      <w:pPr>
        <w:ind w:firstLine="720"/>
        <w:jc w:val="both"/>
      </w:pPr>
      <w:r w:rsidRPr="00D11F66">
        <w:t xml:space="preserve">Больше выявлено экологических преступлений (+2,3%; с 44 до 45), раскрыто 34 экологических преступления (-17,1%; против 41), приостановлено 6 уголовных дел (на уровне 2021г.). Удельный вес расследованных преступлений составил 85,0% (против 87,2%). </w:t>
      </w:r>
    </w:p>
    <w:p w:rsidR="00C15335" w:rsidRPr="00D11F66" w:rsidRDefault="00C15335" w:rsidP="00C15335">
      <w:pPr>
        <w:ind w:firstLine="720"/>
        <w:jc w:val="both"/>
      </w:pPr>
      <w:r w:rsidRPr="00D11F66">
        <w:t xml:space="preserve">В сфере незаконного оборота наркотиков на территории района выявлено 9 преступлений (-35,7%; против 14), из них 4 факта связаны со сбытом наркотического средства (против 6). Раскрыто 3 </w:t>
      </w:r>
      <w:proofErr w:type="spellStart"/>
      <w:r w:rsidRPr="00D11F66">
        <w:t>наркопреступления</w:t>
      </w:r>
      <w:proofErr w:type="spellEnd"/>
      <w:r w:rsidRPr="00D11F66">
        <w:t xml:space="preserve"> (против 6), приостановлено 5 уголовных дел (на уровне 2021г.); удельный вес расследованных составил 37,5% (против 54,5%). Из незаконного оборота изъято наркотиков: по зарегистрированным преступлениям 27 гр. (2021г.-49гр.); по оконченным преступлениям изъято 12 гр. (2021г.-38гр.). Сотрудниками ОМВД выявлено 16 административных правонарушений в сфере НОН (против 15).</w:t>
      </w:r>
    </w:p>
    <w:p w:rsidR="00C15335" w:rsidRPr="00D11F66" w:rsidRDefault="00C15335" w:rsidP="00C15335">
      <w:pPr>
        <w:ind w:firstLine="720"/>
        <w:jc w:val="both"/>
      </w:pPr>
      <w:r w:rsidRPr="00D11F66">
        <w:t xml:space="preserve">В 2 раза меньше совершено преступлений с применением оружия (с 6 до 3), раскрыто 3 преступления (на уровне 2021г.), приостановлено 1 уголовное дело (против 0), удельный вес расследованных преступлений, совершенных с применением оружия, составил 75,0% (против 100,0%). Меньше выявлено преступлений в сфере незаконного оборота оружия (-41,2%; с 17 до 10), при этом расследовано их в 4,3 раза больше (с 3 до 13), удельный вес расследованных составил 92,9% (против 27,3%). В суд направлено 9 уголовных дел (против 0) по тяжким преступлениям, связанным с незаконным оборотом огнестрельного оружия. </w:t>
      </w:r>
    </w:p>
    <w:p w:rsidR="00C15335" w:rsidRPr="00D11F66" w:rsidRDefault="00C15335" w:rsidP="00C15335">
      <w:pPr>
        <w:ind w:firstLine="720"/>
        <w:jc w:val="both"/>
      </w:pPr>
      <w:r w:rsidRPr="00D11F66">
        <w:t xml:space="preserve">Увеличилось количество преступных деяний, совершенных в состоянии алкогольного опьянения (+24,7% с 77 до 96); преступлений, совершенных в состоянии наркотического опьянения не зарегистрировано (2021г.-0). Снизилось число выявленных административных правонарушений (без учета ОГИБДД и ОВМ) как в целом (-35,6%; с 1334 до 859), так и в сфере антиалкогольного законодательства (-32,2%; с 245 до 166). </w:t>
      </w:r>
    </w:p>
    <w:p w:rsidR="00C15335" w:rsidRPr="00D11F66" w:rsidRDefault="00C15335" w:rsidP="00C15335">
      <w:pPr>
        <w:ind w:firstLine="720"/>
        <w:jc w:val="both"/>
        <w:rPr>
          <w:color w:val="0070C0"/>
        </w:rPr>
      </w:pPr>
      <w:r w:rsidRPr="00D11F66">
        <w:lastRenderedPageBreak/>
        <w:t xml:space="preserve">Меньше совершено преступлений в общественных местах (-11,9%; с 67 до 59), в том числе на улицах (-4,1%; с 49 до 47). Не допущено преступлений в развлекательных заведениях района (2021г.-0). </w:t>
      </w:r>
    </w:p>
    <w:p w:rsidR="00C15335" w:rsidRPr="00D11F66" w:rsidRDefault="00C15335" w:rsidP="00C15335">
      <w:pPr>
        <w:ind w:firstLine="720"/>
        <w:jc w:val="both"/>
      </w:pPr>
      <w:r w:rsidRPr="00D11F66">
        <w:t xml:space="preserve">Незначительно возросло количество преступных деяний, совершенных ранее судимыми лицами (+2,5%; с 40 до 41) и преступлений, совершенных ранее совершавшими (+32,7%; со 113 до 150). </w:t>
      </w:r>
    </w:p>
    <w:p w:rsidR="00C15335" w:rsidRPr="00D11F66" w:rsidRDefault="00C15335" w:rsidP="00C15335">
      <w:pPr>
        <w:ind w:firstLine="720"/>
        <w:jc w:val="both"/>
      </w:pPr>
      <w:r w:rsidRPr="00D11F66">
        <w:t>Сократилось число преступлений в сфере семейно-бытовых отношений (-7,7%; с 26 до 24), но больше расследовано таких преступлений (+8,0%; с 25 до 27), приостановлено – 3 (против 2), удельный вес расследованных снизился (с 92,6% до 90,0%).</w:t>
      </w:r>
    </w:p>
    <w:p w:rsidR="00C15335" w:rsidRPr="00D11F66" w:rsidRDefault="00C15335" w:rsidP="00C15335">
      <w:pPr>
        <w:ind w:firstLine="720"/>
        <w:jc w:val="both"/>
      </w:pPr>
      <w:r w:rsidRPr="00D11F66">
        <w:t xml:space="preserve">Меньше выявлено превентивных составов преступлений (-11,5%; с 87 до 77), при этом расследовано их больше (16,9%; с 65 до 76). </w:t>
      </w:r>
    </w:p>
    <w:p w:rsidR="00C15335" w:rsidRPr="00D11F66" w:rsidRDefault="00C15335" w:rsidP="00C15335">
      <w:pPr>
        <w:ind w:firstLine="720"/>
        <w:jc w:val="both"/>
      </w:pPr>
      <w:r w:rsidRPr="00D11F66">
        <w:t xml:space="preserve">Преступлений, совершенных иностранцами в 2022 году не зарегистрировано (2021г.-1). </w:t>
      </w:r>
    </w:p>
    <w:p w:rsidR="00C15335" w:rsidRPr="00D11F66" w:rsidRDefault="00C15335" w:rsidP="00C15335">
      <w:pPr>
        <w:ind w:firstLine="720"/>
        <w:jc w:val="both"/>
      </w:pPr>
      <w:r w:rsidRPr="00D11F66">
        <w:t>На 28,7% больше выявлено правонарушений по линии миграционного законодательства (157 против 122), в том числе сотрудниками ОВМ – 121 (+31,5%; 2021г.-92), участковыми уполномоченными полиции – 36 (+20,0%; 2021г.-30).</w:t>
      </w:r>
    </w:p>
    <w:p w:rsidR="00C15335" w:rsidRPr="00D11F66" w:rsidRDefault="00C15335" w:rsidP="00C15335">
      <w:pPr>
        <w:ind w:firstLine="720"/>
        <w:jc w:val="both"/>
      </w:pPr>
      <w:r w:rsidRPr="00D11F66">
        <w:t>Расследовано 6 преступлений (2021г.-6), совершенных пятью несовершеннолетними (против 8). Не выявлено фактов вовлечения несовершеннолетних в преступную деятельность (против 0). В отношении несовершеннолетних совершено 27 преступлений (против 15).</w:t>
      </w:r>
    </w:p>
    <w:p w:rsidR="00C15335" w:rsidRPr="00D11F66" w:rsidRDefault="00C15335" w:rsidP="00C15335">
      <w:pPr>
        <w:ind w:firstLine="720"/>
        <w:jc w:val="both"/>
      </w:pPr>
      <w:r w:rsidRPr="00D11F66">
        <w:t>Дорожно-транспортная обстановка на дорогах района характеризуется снижением количества дорожно-транспортных происшествий (-8,3%; с 36 до 33), пострадавших (-37,1%; с 78 до 49) и погибших граждан (-69,2%; с 13 до 4). Меньше зарегистрировано ДТП с участием детей (-25,0%; с 4 до 3), но возросло число ДТП, совершенных водителями в нетрезвом состоянии (+25,0%; с 4 до 5). На 10,4% снизилось число выявленных сотрудниками ГИБДД нарушений ПДД (с 13025 до 11670). Активизирована работа по выявлению правонарушений за управление транспортными средствами в состоянии алкогольного опьянения (+14,0%; со 171 до 195).</w:t>
      </w:r>
    </w:p>
    <w:p w:rsidR="00C15335" w:rsidRPr="00D11F66" w:rsidRDefault="00C15335" w:rsidP="00C15335">
      <w:pPr>
        <w:ind w:firstLine="720"/>
        <w:jc w:val="both"/>
      </w:pPr>
      <w:r w:rsidRPr="00D11F66">
        <w:t>Деятельность Отдела активно освещается в средствах массовой информации, на официальных сайтах Октябрьского района. В 2022 году реализовано 145 информационных поводов, которые 148 раз были опубликованы в различных средствах массовой информации и 2157 раз в сети Интернет.</w:t>
      </w:r>
    </w:p>
    <w:p w:rsidR="00C15335" w:rsidRPr="00D11F66" w:rsidRDefault="00C15335" w:rsidP="00C15335">
      <w:pPr>
        <w:ind w:firstLine="720"/>
        <w:jc w:val="both"/>
      </w:pPr>
      <w:r w:rsidRPr="00D11F66">
        <w:t xml:space="preserve">При ОМВД России по Октябрьскому району сформирован Общественный совет, в состав которого входят работники различных объединений и организаций, с целью проверки законности принятых решений в отношении граждан, а также оказания практической помощи при участии в профилактических рейдах и мероприятиях. </w:t>
      </w:r>
    </w:p>
    <w:p w:rsidR="00C15335" w:rsidRPr="00D11F66" w:rsidRDefault="00C15335" w:rsidP="00C15335">
      <w:pPr>
        <w:ind w:firstLine="720"/>
        <w:jc w:val="both"/>
      </w:pPr>
      <w:r w:rsidRPr="00D11F66">
        <w:t xml:space="preserve">При взаимодействии с государственными и муниципальными органами, общественными объединениями и организациями, а также гражданами, каких- либо проблемных вопросов не возникало. </w:t>
      </w:r>
    </w:p>
    <w:p w:rsidR="00C15335" w:rsidRPr="00D11F66" w:rsidRDefault="00C15335" w:rsidP="00C15335">
      <w:pPr>
        <w:ind w:firstLine="720"/>
        <w:jc w:val="both"/>
      </w:pPr>
      <w:r w:rsidRPr="00D11F66">
        <w:t xml:space="preserve">Финансовые средства органами местного самоуправления на реализацию возложенных на полицию обязанностей по охране общественного порядка и обеспечению общественной безопасности не выделялись, так как на основании статьи 47 ФЗ «О полиции» финансовое обеспечение деятельности полиции является расходным обязательством Российской Федерации и обеспечивается за счет средств федерального бюджета. </w:t>
      </w:r>
    </w:p>
    <w:p w:rsidR="00C15335" w:rsidRPr="00D11F66" w:rsidRDefault="00C15335" w:rsidP="00C15335">
      <w:pPr>
        <w:ind w:firstLine="720"/>
        <w:jc w:val="both"/>
      </w:pPr>
      <w:r w:rsidRPr="00D11F66">
        <w:t>В целом, Отделом реализован комплекс мер по охране общественного порядка, обеспечению безопасности на территории района, защите прав и законных интересов граждан от преступных посягательств. Не допущены значительные осложнения оперативной обстановки, чрезвычайные происшествия в ходе подготовки и при проведении общественно-политических, спортивных и культурно-массовых мероприятий.</w:t>
      </w:r>
    </w:p>
    <w:p w:rsidR="00C15335" w:rsidRPr="00D11F66" w:rsidRDefault="00C15335" w:rsidP="00C15335">
      <w:pPr>
        <w:ind w:firstLine="720"/>
        <w:jc w:val="both"/>
      </w:pPr>
      <w:r w:rsidRPr="00D11F66">
        <w:t>Личному составу Отдела задачи на 2023 год поставлены, личный состав организован и готов к выполнению поставленных задач.</w:t>
      </w:r>
    </w:p>
    <w:p w:rsidR="00C15335" w:rsidRPr="00D11F66" w:rsidRDefault="00C15335" w:rsidP="00C15335">
      <w:pPr>
        <w:ind w:firstLine="720"/>
        <w:jc w:val="both"/>
      </w:pPr>
      <w:r w:rsidRPr="00D11F66">
        <w:lastRenderedPageBreak/>
        <w:t>В 2023 году необходимо продолжить работу, направленную на недопущение осложнения оперативной обстановки в районе и предотвращению преступности, в том числе:</w:t>
      </w:r>
    </w:p>
    <w:p w:rsidR="00C15335" w:rsidRPr="00D11F66" w:rsidRDefault="00C15335" w:rsidP="00C15335">
      <w:pPr>
        <w:ind w:firstLine="720"/>
        <w:jc w:val="both"/>
      </w:pPr>
      <w:r w:rsidRPr="00D11F66">
        <w:t>1. Информатизация населения о способах и видах мошеннических действий, совершаемых посредством ИТТ. Совершенствование работы по предупреждению и раскрытию мошенничеств и краж, совершаемых дистанционным способом. Обеспечение своевременного реагирования на появление новых схем преступных деяний.</w:t>
      </w:r>
    </w:p>
    <w:p w:rsidR="00C15335" w:rsidRPr="00D11F66" w:rsidRDefault="00C15335" w:rsidP="00C15335">
      <w:pPr>
        <w:ind w:firstLine="720"/>
        <w:jc w:val="both"/>
      </w:pPr>
      <w:r w:rsidRPr="00D11F66">
        <w:t>2. Профилактическая работа, направленная на недопущение «пьяной», «бытовой», «рецидивной» преступности, а также преступности в общественных местах и на улицах.</w:t>
      </w:r>
    </w:p>
    <w:p w:rsidR="00C15335" w:rsidRPr="00D11F66" w:rsidRDefault="00C15335" w:rsidP="00C15335">
      <w:pPr>
        <w:ind w:firstLine="720"/>
        <w:jc w:val="both"/>
      </w:pPr>
      <w:r w:rsidRPr="00D11F66">
        <w:t>3. Проведение дополнительных мероприятий по выявлению и пресечению экономических и коррупционных преступлений, противодействие преступлениям в сфере незаконного оборота наркотических средств и незаконного оборота оружия.</w:t>
      </w:r>
    </w:p>
    <w:p w:rsidR="00C15335" w:rsidRPr="00D11F66" w:rsidRDefault="00C15335" w:rsidP="00C15335">
      <w:pPr>
        <w:ind w:firstLine="720"/>
        <w:jc w:val="both"/>
      </w:pPr>
      <w:r w:rsidRPr="00D11F66">
        <w:t>4. Профилактическая работа с несовершеннолетними, а также меры профилактики правонарушений в отношении несовершеннолетних, в том числе против половой неприкосновенности.</w:t>
      </w:r>
    </w:p>
    <w:p w:rsidR="00C15335" w:rsidRPr="00D11F66" w:rsidRDefault="00C15335" w:rsidP="00C15335">
      <w:pPr>
        <w:ind w:firstLine="720"/>
        <w:jc w:val="both"/>
      </w:pPr>
      <w:r w:rsidRPr="00D11F66">
        <w:t>5. Стабилизация дорожно-транспортной обстановки, недопущение дорожно-транспортных происшествий с тяжкими последствиями.</w:t>
      </w:r>
    </w:p>
    <w:p w:rsidR="00C15335" w:rsidRPr="00D11F66" w:rsidRDefault="00C15335" w:rsidP="00C15335">
      <w:pPr>
        <w:ind w:right="56" w:firstLine="709"/>
        <w:jc w:val="both"/>
      </w:pPr>
      <w:r w:rsidRPr="00D11F66">
        <w:t>6. Контроль за пребыванием и нахождением на территории обслуживания иностранных граждан и недопущение нарушений правопорядка с их стороны. Недопущение проявлений экстремизма, предупреждение межнациональных и межконфессиональных конфликтов.</w:t>
      </w:r>
    </w:p>
    <w:p w:rsidR="00C15335" w:rsidRPr="00D11F66" w:rsidRDefault="00C15335" w:rsidP="00C15335">
      <w:pPr>
        <w:ind w:right="56" w:firstLine="709"/>
        <w:jc w:val="both"/>
      </w:pPr>
      <w:r w:rsidRPr="00D11F66">
        <w:t xml:space="preserve">7. Укрепление кадрового ядра, комплектование ведущих служб и руководящего состава ОМВД. </w:t>
      </w:r>
    </w:p>
    <w:p w:rsidR="00C15335" w:rsidRPr="00D11F66" w:rsidRDefault="00C15335" w:rsidP="00C15335">
      <w:pPr>
        <w:ind w:right="56" w:firstLine="709"/>
        <w:jc w:val="both"/>
      </w:pPr>
      <w:r w:rsidRPr="00D11F66">
        <w:t>8. Организация взаимодействия всех субъектов профилактики, своевременное рассмотрение проблемных вопросов, возникающих в ходе оперативно-служебной деятельности, на заседаниях межведомственных и координационных совещаний.</w:t>
      </w:r>
    </w:p>
    <w:p w:rsidR="006711AB" w:rsidRDefault="006711AB" w:rsidP="00002B5E">
      <w:pPr>
        <w:jc w:val="both"/>
        <w:rPr>
          <w:sz w:val="28"/>
          <w:szCs w:val="28"/>
        </w:rPr>
      </w:pPr>
    </w:p>
    <w:p w:rsidR="00BA6D09" w:rsidRDefault="00BA6D09" w:rsidP="00002B5E">
      <w:pPr>
        <w:jc w:val="both"/>
        <w:rPr>
          <w:sz w:val="28"/>
          <w:szCs w:val="28"/>
        </w:rPr>
      </w:pPr>
    </w:p>
    <w:sectPr w:rsidR="00BA6D09" w:rsidSect="00AF55E0">
      <w:headerReference w:type="default" r:id="rId9"/>
      <w:footerReference w:type="even" r:id="rId10"/>
      <w:headerReference w:type="first" r:id="rId11"/>
      <w:footnotePr>
        <w:numRestart w:val="eachPage"/>
      </w:footnotePr>
      <w:pgSz w:w="11906" w:h="16838"/>
      <w:pgMar w:top="851" w:right="737" w:bottom="737"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9F2" w:rsidRDefault="000569F2">
      <w:r>
        <w:separator/>
      </w:r>
    </w:p>
  </w:endnote>
  <w:endnote w:type="continuationSeparator" w:id="0">
    <w:p w:rsidR="000569F2" w:rsidRDefault="0005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1D" w:rsidRDefault="00D83662">
    <w:pPr>
      <w:pStyle w:val="a3"/>
      <w:framePr w:wrap="around" w:vAnchor="text" w:hAnchor="margin" w:xAlign="center" w:y="1"/>
      <w:rPr>
        <w:rStyle w:val="a4"/>
      </w:rPr>
    </w:pPr>
    <w:r>
      <w:rPr>
        <w:rStyle w:val="a4"/>
      </w:rPr>
      <w:fldChar w:fldCharType="begin"/>
    </w:r>
    <w:r w:rsidR="00EB2C1D">
      <w:rPr>
        <w:rStyle w:val="a4"/>
      </w:rPr>
      <w:instrText xml:space="preserve">PAGE  </w:instrText>
    </w:r>
    <w:r>
      <w:rPr>
        <w:rStyle w:val="a4"/>
      </w:rPr>
      <w:fldChar w:fldCharType="end"/>
    </w:r>
  </w:p>
  <w:p w:rsidR="00EB2C1D" w:rsidRDefault="00EB2C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9F2" w:rsidRDefault="000569F2">
      <w:r>
        <w:separator/>
      </w:r>
    </w:p>
  </w:footnote>
  <w:footnote w:type="continuationSeparator" w:id="0">
    <w:p w:rsidR="000569F2" w:rsidRDefault="00056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98" w:rsidRDefault="00223098">
    <w:pPr>
      <w:pStyle w:val="a5"/>
      <w:jc w:val="center"/>
    </w:pPr>
  </w:p>
  <w:p w:rsidR="00223098" w:rsidRDefault="002230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45" w:rsidRDefault="00982945">
    <w:pPr>
      <w:pStyle w:val="a5"/>
    </w:pPr>
  </w:p>
  <w:p w:rsidR="00982945" w:rsidRDefault="00982945">
    <w:pPr>
      <w:pStyle w:val="a5"/>
    </w:pPr>
  </w:p>
  <w:p w:rsidR="00982945" w:rsidRDefault="00982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3FA00E4F"/>
    <w:multiLevelType w:val="hybridMultilevel"/>
    <w:tmpl w:val="CBB6998A"/>
    <w:lvl w:ilvl="0" w:tplc="647C6D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2"/>
  </w:compat>
  <w:rsids>
    <w:rsidRoot w:val="00575CB3"/>
    <w:rsid w:val="00002B5E"/>
    <w:rsid w:val="00013DFE"/>
    <w:rsid w:val="000209A1"/>
    <w:rsid w:val="00051873"/>
    <w:rsid w:val="000528F2"/>
    <w:rsid w:val="00053D8F"/>
    <w:rsid w:val="000569F2"/>
    <w:rsid w:val="0006026B"/>
    <w:rsid w:val="000D18B7"/>
    <w:rsid w:val="00101818"/>
    <w:rsid w:val="00111B32"/>
    <w:rsid w:val="00137F40"/>
    <w:rsid w:val="001451AC"/>
    <w:rsid w:val="00150F73"/>
    <w:rsid w:val="00154763"/>
    <w:rsid w:val="00155491"/>
    <w:rsid w:val="00161A3E"/>
    <w:rsid w:val="001622EA"/>
    <w:rsid w:val="001B7D25"/>
    <w:rsid w:val="001D22B1"/>
    <w:rsid w:val="001F1CD3"/>
    <w:rsid w:val="001F50A8"/>
    <w:rsid w:val="00223098"/>
    <w:rsid w:val="002603FA"/>
    <w:rsid w:val="00280EA6"/>
    <w:rsid w:val="00286ED5"/>
    <w:rsid w:val="00296BAA"/>
    <w:rsid w:val="002C1CC2"/>
    <w:rsid w:val="002D2D0C"/>
    <w:rsid w:val="00306D3F"/>
    <w:rsid w:val="00330913"/>
    <w:rsid w:val="00351917"/>
    <w:rsid w:val="003A537B"/>
    <w:rsid w:val="003B3F97"/>
    <w:rsid w:val="003C387F"/>
    <w:rsid w:val="004501D0"/>
    <w:rsid w:val="00462976"/>
    <w:rsid w:val="00472892"/>
    <w:rsid w:val="004B395F"/>
    <w:rsid w:val="004C40A2"/>
    <w:rsid w:val="004E0E12"/>
    <w:rsid w:val="004E49B7"/>
    <w:rsid w:val="00511409"/>
    <w:rsid w:val="00524ADF"/>
    <w:rsid w:val="00527679"/>
    <w:rsid w:val="005656A4"/>
    <w:rsid w:val="00565C98"/>
    <w:rsid w:val="00575CB3"/>
    <w:rsid w:val="00594D3D"/>
    <w:rsid w:val="005A255A"/>
    <w:rsid w:val="005B2019"/>
    <w:rsid w:val="005C5417"/>
    <w:rsid w:val="005D3D3F"/>
    <w:rsid w:val="005D5AD2"/>
    <w:rsid w:val="005F082F"/>
    <w:rsid w:val="005F0FB1"/>
    <w:rsid w:val="005F4A70"/>
    <w:rsid w:val="005F7A76"/>
    <w:rsid w:val="006100C2"/>
    <w:rsid w:val="0061449C"/>
    <w:rsid w:val="0062681F"/>
    <w:rsid w:val="0066110D"/>
    <w:rsid w:val="0066494E"/>
    <w:rsid w:val="00667D00"/>
    <w:rsid w:val="006711AB"/>
    <w:rsid w:val="00683399"/>
    <w:rsid w:val="0068533E"/>
    <w:rsid w:val="006A4FC6"/>
    <w:rsid w:val="006C5AE2"/>
    <w:rsid w:val="006E4772"/>
    <w:rsid w:val="006F66D8"/>
    <w:rsid w:val="007040AD"/>
    <w:rsid w:val="00705276"/>
    <w:rsid w:val="00744AB0"/>
    <w:rsid w:val="00747F81"/>
    <w:rsid w:val="00793829"/>
    <w:rsid w:val="007A4252"/>
    <w:rsid w:val="007A4F83"/>
    <w:rsid w:val="007B69FA"/>
    <w:rsid w:val="00802A64"/>
    <w:rsid w:val="008300E2"/>
    <w:rsid w:val="00844AE7"/>
    <w:rsid w:val="00897295"/>
    <w:rsid w:val="008A58E8"/>
    <w:rsid w:val="008B3B1F"/>
    <w:rsid w:val="008B473B"/>
    <w:rsid w:val="008D0BB5"/>
    <w:rsid w:val="008E51E5"/>
    <w:rsid w:val="008F70BD"/>
    <w:rsid w:val="00930F90"/>
    <w:rsid w:val="0093287C"/>
    <w:rsid w:val="0095423B"/>
    <w:rsid w:val="009569C6"/>
    <w:rsid w:val="009578DF"/>
    <w:rsid w:val="00971E69"/>
    <w:rsid w:val="009720C3"/>
    <w:rsid w:val="00975BF7"/>
    <w:rsid w:val="00982945"/>
    <w:rsid w:val="009B4DB5"/>
    <w:rsid w:val="00A051F8"/>
    <w:rsid w:val="00A81CFB"/>
    <w:rsid w:val="00AC49F3"/>
    <w:rsid w:val="00AF55E0"/>
    <w:rsid w:val="00B14622"/>
    <w:rsid w:val="00B168A4"/>
    <w:rsid w:val="00B36889"/>
    <w:rsid w:val="00B90699"/>
    <w:rsid w:val="00BA489B"/>
    <w:rsid w:val="00BA6D09"/>
    <w:rsid w:val="00BB6CEE"/>
    <w:rsid w:val="00BB739E"/>
    <w:rsid w:val="00BD004E"/>
    <w:rsid w:val="00BD356F"/>
    <w:rsid w:val="00BF77EA"/>
    <w:rsid w:val="00C15335"/>
    <w:rsid w:val="00C22111"/>
    <w:rsid w:val="00C2703F"/>
    <w:rsid w:val="00C47D10"/>
    <w:rsid w:val="00C52795"/>
    <w:rsid w:val="00C540C6"/>
    <w:rsid w:val="00C576B7"/>
    <w:rsid w:val="00C70CCB"/>
    <w:rsid w:val="00C77CE0"/>
    <w:rsid w:val="00C815D3"/>
    <w:rsid w:val="00C9045F"/>
    <w:rsid w:val="00C95879"/>
    <w:rsid w:val="00CB5C11"/>
    <w:rsid w:val="00CC2A27"/>
    <w:rsid w:val="00CC415D"/>
    <w:rsid w:val="00CD1E21"/>
    <w:rsid w:val="00CD5767"/>
    <w:rsid w:val="00D11F66"/>
    <w:rsid w:val="00D155F9"/>
    <w:rsid w:val="00D3251B"/>
    <w:rsid w:val="00D4271F"/>
    <w:rsid w:val="00D83662"/>
    <w:rsid w:val="00D84341"/>
    <w:rsid w:val="00D92B18"/>
    <w:rsid w:val="00DA1F0B"/>
    <w:rsid w:val="00DA4AC4"/>
    <w:rsid w:val="00DA578B"/>
    <w:rsid w:val="00DD5837"/>
    <w:rsid w:val="00DF1AEC"/>
    <w:rsid w:val="00E2231E"/>
    <w:rsid w:val="00E4523E"/>
    <w:rsid w:val="00E537E7"/>
    <w:rsid w:val="00E7080D"/>
    <w:rsid w:val="00EB2C1D"/>
    <w:rsid w:val="00EC33B6"/>
    <w:rsid w:val="00EF2D72"/>
    <w:rsid w:val="00F12C65"/>
    <w:rsid w:val="00F71B3E"/>
    <w:rsid w:val="00F95F76"/>
    <w:rsid w:val="00FC0B9D"/>
    <w:rsid w:val="00FC61F0"/>
    <w:rsid w:val="00FF1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D107D90-B480-4647-A227-64205D85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B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D5767"/>
    <w:pPr>
      <w:tabs>
        <w:tab w:val="num" w:pos="1287"/>
      </w:tabs>
      <w:spacing w:after="160" w:line="240" w:lineRule="exact"/>
      <w:ind w:left="1287" w:hanging="360"/>
      <w:jc w:val="both"/>
    </w:pPr>
    <w:rPr>
      <w:rFonts w:ascii="Verdana" w:hAnsi="Verdana" w:cs="Arial"/>
      <w:sz w:val="20"/>
      <w:szCs w:val="20"/>
      <w:lang w:val="en-US" w:eastAsia="en-US"/>
    </w:rPr>
  </w:style>
  <w:style w:type="paragraph" w:styleId="a3">
    <w:name w:val="footer"/>
    <w:basedOn w:val="a"/>
    <w:rsid w:val="00F71B3E"/>
    <w:pPr>
      <w:tabs>
        <w:tab w:val="center" w:pos="4677"/>
        <w:tab w:val="right" w:pos="9355"/>
      </w:tabs>
    </w:pPr>
  </w:style>
  <w:style w:type="character" w:styleId="a4">
    <w:name w:val="page number"/>
    <w:basedOn w:val="a0"/>
    <w:rsid w:val="00F71B3E"/>
  </w:style>
  <w:style w:type="paragraph" w:styleId="a5">
    <w:name w:val="header"/>
    <w:basedOn w:val="a"/>
    <w:link w:val="a6"/>
    <w:uiPriority w:val="99"/>
    <w:rsid w:val="00F71B3E"/>
    <w:pPr>
      <w:tabs>
        <w:tab w:val="center" w:pos="4677"/>
        <w:tab w:val="right" w:pos="9355"/>
      </w:tabs>
    </w:pPr>
  </w:style>
  <w:style w:type="paragraph" w:customStyle="1" w:styleId="1">
    <w:name w:val="Без интервала1"/>
    <w:rsid w:val="00BD004E"/>
    <w:rPr>
      <w:rFonts w:ascii="Calibri" w:hAnsi="Calibri"/>
      <w:sz w:val="22"/>
      <w:szCs w:val="22"/>
    </w:rPr>
  </w:style>
  <w:style w:type="paragraph" w:styleId="a7">
    <w:name w:val="footnote text"/>
    <w:aliases w:val="Footnote Text Char1 Знак,Footnote Text Char3 Char Знак,Footnote Text Char2 Char Char Знак,Footnote Text Char1 Char1 Char Char Знак,ft Char1 Char Char Char Знак,Footnote Text Char1 Char Char Char Char Знак,ft Знак,ft,ft Знак Знак"/>
    <w:basedOn w:val="a"/>
    <w:link w:val="a8"/>
    <w:uiPriority w:val="99"/>
    <w:rsid w:val="00BD004E"/>
    <w:rPr>
      <w:sz w:val="20"/>
      <w:szCs w:val="20"/>
    </w:rPr>
  </w:style>
  <w:style w:type="character" w:customStyle="1" w:styleId="a8">
    <w:name w:val="Текст сноски Знак"/>
    <w:aliases w:val="Footnote Text Char1 Знак Знак,Footnote Text Char3 Char Знак Знак,Footnote Text Char2 Char Char Знак Знак,Footnote Text Char1 Char1 Char Char Знак Знак,ft Char1 Char Char Char Знак Знак,Footnote Text Char1 Char Char Char Char Знак Знак"/>
    <w:basedOn w:val="a0"/>
    <w:link w:val="a7"/>
    <w:uiPriority w:val="99"/>
    <w:rsid w:val="00BD004E"/>
  </w:style>
  <w:style w:type="character" w:styleId="a9">
    <w:name w:val="footnote reference"/>
    <w:aliases w:val="fr"/>
    <w:uiPriority w:val="99"/>
    <w:rsid w:val="00BD004E"/>
    <w:rPr>
      <w:vertAlign w:val="superscript"/>
    </w:rPr>
  </w:style>
  <w:style w:type="paragraph" w:styleId="2">
    <w:name w:val="Body Text 2"/>
    <w:basedOn w:val="a"/>
    <w:link w:val="20"/>
    <w:rsid w:val="00BD004E"/>
    <w:pPr>
      <w:spacing w:after="120" w:line="480" w:lineRule="auto"/>
    </w:pPr>
    <w:rPr>
      <w:sz w:val="20"/>
      <w:szCs w:val="20"/>
    </w:rPr>
  </w:style>
  <w:style w:type="character" w:customStyle="1" w:styleId="20">
    <w:name w:val="Основной текст 2 Знак"/>
    <w:basedOn w:val="a0"/>
    <w:link w:val="2"/>
    <w:rsid w:val="00BD004E"/>
  </w:style>
  <w:style w:type="paragraph" w:customStyle="1" w:styleId="210">
    <w:name w:val="Основной текст с отступом 21"/>
    <w:basedOn w:val="a"/>
    <w:rsid w:val="00BD004E"/>
    <w:pPr>
      <w:widowControl w:val="0"/>
      <w:suppressAutoHyphens/>
      <w:ind w:firstLine="720"/>
      <w:jc w:val="both"/>
    </w:pPr>
    <w:rPr>
      <w:szCs w:val="20"/>
      <w:lang w:eastAsia="en-US"/>
    </w:rPr>
  </w:style>
  <w:style w:type="paragraph" w:styleId="22">
    <w:name w:val="Body Text Indent 2"/>
    <w:basedOn w:val="a"/>
    <w:link w:val="23"/>
    <w:rsid w:val="00BD004E"/>
    <w:pPr>
      <w:spacing w:after="120" w:line="480" w:lineRule="auto"/>
      <w:ind w:left="283"/>
    </w:pPr>
    <w:rPr>
      <w:sz w:val="20"/>
      <w:szCs w:val="20"/>
    </w:rPr>
  </w:style>
  <w:style w:type="character" w:customStyle="1" w:styleId="23">
    <w:name w:val="Основной текст с отступом 2 Знак"/>
    <w:basedOn w:val="a0"/>
    <w:link w:val="22"/>
    <w:rsid w:val="00BD004E"/>
  </w:style>
  <w:style w:type="character" w:customStyle="1" w:styleId="a6">
    <w:name w:val="Верхний колонтитул Знак"/>
    <w:link w:val="a5"/>
    <w:uiPriority w:val="99"/>
    <w:rsid w:val="00223098"/>
    <w:rPr>
      <w:sz w:val="24"/>
      <w:szCs w:val="24"/>
    </w:rPr>
  </w:style>
  <w:style w:type="paragraph" w:styleId="aa">
    <w:name w:val="Balloon Text"/>
    <w:basedOn w:val="a"/>
    <w:link w:val="ab"/>
    <w:rsid w:val="001F1CD3"/>
    <w:rPr>
      <w:rFonts w:ascii="Segoe UI" w:hAnsi="Segoe UI"/>
      <w:sz w:val="18"/>
      <w:szCs w:val="18"/>
    </w:rPr>
  </w:style>
  <w:style w:type="character" w:customStyle="1" w:styleId="ab">
    <w:name w:val="Текст выноски Знак"/>
    <w:link w:val="aa"/>
    <w:rsid w:val="001F1C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0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0219D-11D1-4BCC-998E-26A8079CD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2038</Words>
  <Characters>11618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13629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creator>User</dc:creator>
  <cp:lastModifiedBy>KozhaevAI</cp:lastModifiedBy>
  <cp:revision>11</cp:revision>
  <cp:lastPrinted>2023-02-07T10:11:00Z</cp:lastPrinted>
  <dcterms:created xsi:type="dcterms:W3CDTF">2022-02-09T11:14:00Z</dcterms:created>
  <dcterms:modified xsi:type="dcterms:W3CDTF">2025-03-12T06:01:00Z</dcterms:modified>
</cp:coreProperties>
</file>